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0" w:after="0"/>
        <w:ind w:left="835" w:hanging="835"/>
        <w:jc w:val="center"/>
        <w:rPr/>
      </w:pPr>
      <w:r>
        <w:rPr>
          <w:rFonts w:ascii="Times New Roman" w:hAnsi="Times New Roman"/>
          <w:sz w:val="21"/>
          <w:szCs w:val="21"/>
          <w:lang w:eastAsia="it-IT"/>
        </w:rPr>
        <w:t>SCHEDA PER L'INDIVIDUAZIONE DEI DOCENTI SOPRANNUMERARI A.S. 202</w:t>
      </w:r>
      <w:r>
        <w:rPr>
          <w:rFonts w:ascii="Times New Roman" w:hAnsi="Times New Roman"/>
          <w:sz w:val="21"/>
          <w:szCs w:val="21"/>
          <w:lang w:eastAsia="it-IT"/>
        </w:rPr>
        <w:t>1</w:t>
      </w:r>
      <w:r>
        <w:rPr>
          <w:rFonts w:ascii="Times New Roman" w:hAnsi="Times New Roman"/>
          <w:sz w:val="21"/>
          <w:szCs w:val="21"/>
          <w:lang w:eastAsia="it-IT"/>
        </w:rPr>
        <w:t>/202</w:t>
      </w:r>
      <w:r>
        <w:rPr>
          <w:rFonts w:ascii="Times New Roman" w:hAnsi="Times New Roman"/>
          <w:sz w:val="21"/>
          <w:szCs w:val="21"/>
          <w:lang w:eastAsia="it-IT"/>
        </w:rPr>
        <w:t>2</w:t>
      </w:r>
    </w:p>
    <w:p>
      <w:pPr>
        <w:pStyle w:val="Normal"/>
        <w:widowControl w:val="false"/>
        <w:spacing w:lineRule="auto" w:line="240" w:before="0" w:after="0"/>
        <w:ind w:left="5664" w:hanging="0"/>
        <w:rPr>
          <w:rFonts w:ascii="Times New Roman" w:hAnsi="Times New Roman"/>
          <w:sz w:val="21"/>
          <w:szCs w:val="21"/>
          <w:lang w:eastAsia="it-IT"/>
        </w:rPr>
      </w:pPr>
      <w:r>
        <w:rPr>
          <w:rFonts w:ascii="Times New Roman" w:hAnsi="Times New Roman"/>
          <w:sz w:val="21"/>
          <w:szCs w:val="21"/>
          <w:lang w:eastAsia="it-IT"/>
        </w:rPr>
        <w:t xml:space="preserve">AL DIRIGENTE SCOLASTICO </w:t>
      </w:r>
    </w:p>
    <w:p>
      <w:pPr>
        <w:pStyle w:val="Normal"/>
        <w:widowControl w:val="false"/>
        <w:spacing w:lineRule="auto" w:line="240" w:before="0" w:after="0"/>
        <w:ind w:left="5664" w:hanging="0"/>
        <w:rPr>
          <w:rFonts w:ascii="Times New Roman" w:hAnsi="Times New Roman"/>
          <w:sz w:val="21"/>
          <w:szCs w:val="21"/>
          <w:lang w:eastAsia="it-IT"/>
        </w:rPr>
      </w:pPr>
      <w:r>
        <w:rPr>
          <w:rFonts w:ascii="Times New Roman" w:hAnsi="Times New Roman"/>
          <w:sz w:val="21"/>
          <w:szCs w:val="21"/>
          <w:lang w:eastAsia="it-IT"/>
        </w:rPr>
        <w:t>IIS ALDO MORO – Passo Corese (RI)</w:t>
      </w:r>
    </w:p>
    <w:p>
      <w:pPr>
        <w:pStyle w:val="Normal"/>
        <w:widowControl w:val="false"/>
        <w:spacing w:lineRule="auto" w:line="240" w:before="0" w:after="0"/>
        <w:ind w:left="5664" w:hanging="0"/>
        <w:rPr>
          <w:rFonts w:ascii="Times New Roman" w:hAnsi="Times New Roman"/>
          <w:sz w:val="21"/>
          <w:szCs w:val="21"/>
          <w:lang w:eastAsia="it-IT"/>
        </w:rPr>
      </w:pPr>
      <w:r>
        <w:rPr>
          <w:rFonts w:ascii="Times New Roman" w:hAnsi="Times New Roman"/>
          <w:sz w:val="21"/>
          <w:szCs w:val="21"/>
          <w:lang w:eastAsia="it-IT"/>
        </w:rPr>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Il/La sottoscritto/a  ...........................................................................nato/a ............................................(prov................)</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Il .......................................residente in ...........................................................................................................................</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Insegnante di scuola.............................................................................................(cl.di conc..................)</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titolare presso la Scuola..........................................................................di............................dall’A.S................. con dec giuridica  dal ........../............/.........</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 xml:space="preserve">immesso in ruolo ai sensi </w:t>
        <w:tab/>
        <w:t>con effettiva assunzione in servizio dal ……\......\...................  ai fini della formulazione della graduatoria dichiara sotto la propria responsabilità:</w:t>
      </w:r>
    </w:p>
    <w:tbl>
      <w:tblPr>
        <w:tblW w:w="5000" w:type="pct"/>
        <w:jc w:val="center"/>
        <w:tblInd w:w="0" w:type="dxa"/>
        <w:tblBorders>
          <w:top w:val="single" w:sz="4" w:space="0" w:color="00000A"/>
          <w:left w:val="single" w:sz="4" w:space="0" w:color="00000A"/>
          <w:right w:val="single" w:sz="4" w:space="0" w:color="00000A"/>
          <w:insideV w:val="single" w:sz="4" w:space="0" w:color="00000A"/>
        </w:tblBorders>
        <w:tblCellMar>
          <w:top w:w="0" w:type="dxa"/>
          <w:left w:w="0" w:type="dxa"/>
          <w:bottom w:w="0" w:type="dxa"/>
          <w:right w:w="0" w:type="dxa"/>
        </w:tblCellMar>
        <w:tblLook w:val="0000"/>
      </w:tblPr>
      <w:tblGrid>
        <w:gridCol w:w="7228"/>
        <w:gridCol w:w="536"/>
        <w:gridCol w:w="667"/>
        <w:gridCol w:w="1206"/>
      </w:tblGrid>
      <w:tr>
        <w:trPr/>
        <w:tc>
          <w:tcPr>
            <w:tcW w:w="7228"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t xml:space="preserve">da compilare a cura dell'interessato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ind w:left="14" w:hanging="0"/>
              <w:jc w:val="center"/>
              <w:rPr>
                <w:rFonts w:ascii="Times New Roman" w:hAnsi="Times New Roman"/>
                <w:sz w:val="18"/>
                <w:szCs w:val="18"/>
                <w:lang w:eastAsia="it-IT"/>
              </w:rPr>
            </w:pPr>
            <w:r>
              <w:rPr>
                <w:rFonts w:ascii="Times New Roman" w:hAnsi="Times New Roman"/>
                <w:sz w:val="18"/>
                <w:szCs w:val="18"/>
                <w:lang w:eastAsia="it-IT"/>
              </w:rPr>
              <w:t xml:space="preserve">Anni </w:t>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ind w:left="14" w:hanging="0"/>
              <w:jc w:val="center"/>
              <w:rPr>
                <w:rFonts w:ascii="Times New Roman" w:hAnsi="Times New Roman"/>
                <w:sz w:val="18"/>
                <w:szCs w:val="18"/>
                <w:lang w:eastAsia="it-IT"/>
              </w:rPr>
            </w:pPr>
            <w:r>
              <w:rPr>
                <w:rFonts w:ascii="Times New Roman" w:hAnsi="Times New Roman"/>
                <w:sz w:val="18"/>
                <w:szCs w:val="18"/>
                <w:lang w:eastAsia="it-IT"/>
              </w:rPr>
              <w:t xml:space="preserve">Punti </w:t>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ind w:left="48" w:hanging="0"/>
              <w:jc w:val="center"/>
              <w:rPr>
                <w:rFonts w:ascii="Times New Roman" w:hAnsi="Times New Roman"/>
                <w:sz w:val="18"/>
                <w:szCs w:val="18"/>
                <w:lang w:eastAsia="it-IT"/>
              </w:rPr>
            </w:pPr>
            <w:r>
              <w:rPr>
                <w:rFonts w:ascii="Times New Roman" w:hAnsi="Times New Roman"/>
                <w:sz w:val="18"/>
                <w:szCs w:val="18"/>
                <w:lang w:eastAsia="it-IT"/>
              </w:rPr>
              <w:t xml:space="preserve">Riservato al </w:t>
            </w:r>
          </w:p>
          <w:p>
            <w:pPr>
              <w:pStyle w:val="Normal"/>
              <w:widowControl w:val="false"/>
              <w:spacing w:lineRule="auto" w:line="240" w:before="0" w:after="0"/>
              <w:ind w:left="48" w:hanging="0"/>
              <w:jc w:val="center"/>
              <w:rPr>
                <w:rFonts w:ascii="Times New Roman" w:hAnsi="Times New Roman"/>
                <w:sz w:val="18"/>
                <w:szCs w:val="18"/>
                <w:lang w:eastAsia="it-IT"/>
              </w:rPr>
            </w:pPr>
            <w:r>
              <w:rPr>
                <w:rFonts w:ascii="Times New Roman" w:hAnsi="Times New Roman"/>
                <w:sz w:val="18"/>
                <w:szCs w:val="18"/>
                <w:lang w:eastAsia="it-IT"/>
              </w:rPr>
              <w:t xml:space="preserve">Dir.Scol. </w:t>
            </w:r>
          </w:p>
        </w:tc>
      </w:tr>
      <w:tr>
        <w:trPr/>
        <w:tc>
          <w:tcPr>
            <w:tcW w:w="72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t xml:space="preserve">I - ANZIANITÀ DI SERVIZIO: </w:t>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A)  per ogni anno di servizio comunque prestato, successivamente alla decorrenza giuridica della nomina, nel ruolo di appartenenza (1)                                                                                     (Punti 6)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pacing w:val="-4"/>
                <w:sz w:val="18"/>
                <w:szCs w:val="18"/>
                <w:lang w:eastAsia="it-IT"/>
              </w:rPr>
            </w:pPr>
            <w:r>
              <w:rPr>
                <w:rFonts w:ascii="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(Punti 6)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B) per ogni anno di servizio preruolo o di altro servizio di ruolo riconosciuto o valutato ai fini della carriera o per ogni anno di servizio preruolo o di altro servizio di ruolo prestato nella scuola secondaria di secondo grado (4)                                                                                               (Punti 3)</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B1)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B2) per ogni anno di servizio preruolo o di altro servizio di ruolo riconosciuto o valutato ai  fini della  carriera  o  per ogni anno di servizio preruolo o di altro servizio di ruolo  nella  scuola dell'infanzia, effettivamente prestato (2) in scuole o istituti situati nelle piccole isole  (3) e (4) in aggiunta al punteggio di cui al punto B) e B1)                                                                         (Punti 3)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B3)  (valido solo per la scuola elementare) per ogni anno di servizio di ruolo effettivamente  prestato come "specialista" per l'insegnamento della  lingua straniera dall'anno scolastico  92/93 fino all' anno scolastico 97/98 (in aggiunta  al punteggio  di  cui alle lettere B e B2)  rispettivamente:  </w:t>
              <w:br/>
            </w:r>
            <w:r>
              <w:rPr>
                <w:rFonts w:cs="Arial" w:ascii="Arial" w:hAnsi="Arial"/>
                <w:w w:val="111"/>
                <w:sz w:val="15"/>
                <w:szCs w:val="15"/>
                <w:lang w:eastAsia="it-IT"/>
              </w:rPr>
              <w:t xml:space="preserve">-  </w:t>
            </w:r>
            <w:r>
              <w:rPr>
                <w:rFonts w:ascii="Times New Roman" w:hAnsi="Times New Roman"/>
                <w:sz w:val="18"/>
                <w:szCs w:val="18"/>
                <w:lang w:eastAsia="it-IT"/>
              </w:rPr>
              <w:t xml:space="preserve">se il servizio </w:t>
            </w:r>
            <w:r>
              <w:rPr>
                <w:rFonts w:ascii="Times New Roman" w:hAnsi="Times New Roman"/>
                <w:w w:val="200"/>
                <w:sz w:val="4"/>
                <w:szCs w:val="4"/>
                <w:lang w:eastAsia="it-IT"/>
              </w:rPr>
              <w:t xml:space="preserve">é </w:t>
            </w:r>
            <w:r>
              <w:rPr>
                <w:rFonts w:ascii="Times New Roman" w:hAnsi="Times New Roman"/>
                <w:sz w:val="18"/>
                <w:szCs w:val="18"/>
                <w:lang w:eastAsia="it-IT"/>
              </w:rPr>
              <w:t xml:space="preserve">prestato nell'ambito del plesso di titolarità                                                 (Punti 0,5)  </w:t>
              <w:br/>
            </w:r>
            <w:r>
              <w:rPr>
                <w:rFonts w:cs="Arial" w:ascii="Arial" w:hAnsi="Arial"/>
                <w:w w:val="111"/>
                <w:sz w:val="15"/>
                <w:szCs w:val="15"/>
                <w:lang w:eastAsia="it-IT"/>
              </w:rPr>
              <w:t xml:space="preserve">-  </w:t>
            </w:r>
            <w:r>
              <w:rPr>
                <w:rFonts w:ascii="Times New Roman" w:hAnsi="Times New Roman"/>
                <w:sz w:val="18"/>
                <w:szCs w:val="18"/>
                <w:lang w:eastAsia="it-IT"/>
              </w:rPr>
              <w:t xml:space="preserve">se il servizio </w:t>
            </w:r>
            <w:r>
              <w:rPr>
                <w:rFonts w:ascii="Times New Roman" w:hAnsi="Times New Roman"/>
                <w:w w:val="200"/>
                <w:sz w:val="4"/>
                <w:szCs w:val="4"/>
                <w:lang w:eastAsia="it-IT"/>
              </w:rPr>
              <w:t xml:space="preserve">é </w:t>
            </w:r>
            <w:r>
              <w:rPr>
                <w:rFonts w:ascii="Times New Roman" w:hAnsi="Times New Roman"/>
                <w:sz w:val="18"/>
                <w:szCs w:val="18"/>
                <w:lang w:eastAsia="it-IT"/>
              </w:rPr>
              <w:t xml:space="preserve">stato prestato al di fuori del plesso di titolarità                                           (Punti 1)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br/>
              <w:t xml:space="preserve">Per ogni ulteriore anno di servizio:  </w:t>
              <w:br/>
              <w:t xml:space="preserve">entro il quinquennio                                                                                                                (Punti 2)  </w:t>
              <w:br/>
              <w:t xml:space="preserve">oltre il quinquennio                                                                                                                 (Punti 3)  </w:t>
              <w:br/>
              <w:t xml:space="preserve">per il servizio prestato nelle piccole isole il punteggio si raddoppia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C1) per la sola scuola primaria:</w:t>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restart"/>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Pr>
                <w:rFonts w:ascii="Times New Roman" w:hAnsi="Times New Roman"/>
                <w:w w:val="111"/>
                <w:sz w:val="18"/>
                <w:szCs w:val="18"/>
                <w:lang w:eastAsia="it-IT"/>
              </w:rPr>
              <w:t xml:space="preserve">è </w:t>
            </w:r>
            <w:r>
              <w:rPr>
                <w:rFonts w:ascii="Times New Roman" w:hAnsi="Times New Roman"/>
                <w:sz w:val="18"/>
                <w:szCs w:val="18"/>
                <w:lang w:eastAsia="it-IT"/>
              </w:rPr>
              <w:t xml:space="preserve">riconosciuto, per il predetto triennio, una tantum, un punteggio aggiuntivo di (5ter)           (Punti 10) </w:t>
            </w:r>
          </w:p>
        </w:tc>
        <w:tc>
          <w:tcPr>
            <w:tcW w:w="53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53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left w:val="single" w:sz="4" w:space="0" w:color="00000A"/>
              <w:right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c>
          <w:tcPr>
            <w:tcW w:w="72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bl>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II - ESIGENZE DI FAMIGLIA (6) (7):</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7185"/>
        <w:gridCol w:w="1273"/>
        <w:gridCol w:w="1180"/>
      </w:tblGrid>
      <w:tr>
        <w:trPr>
          <w:trHeight w:val="489" w:hRule="atLeast"/>
        </w:trPr>
        <w:tc>
          <w:tcPr>
            <w:tcW w:w="7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21"/>
                <w:szCs w:val="21"/>
                <w:lang w:eastAsia="it-IT"/>
              </w:rPr>
            </w:pPr>
            <w:r>
              <w:rPr>
                <w:rFonts w:ascii="Times New Roman" w:hAnsi="Times New Roman"/>
                <w:sz w:val="18"/>
                <w:szCs w:val="18"/>
                <w:lang w:eastAsia="it-IT"/>
              </w:rPr>
              <w:t xml:space="preserve">Tipo di esigenza </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ind w:left="81" w:hanging="0"/>
              <w:rPr>
                <w:rFonts w:ascii="Times New Roman" w:hAnsi="Times New Roman"/>
                <w:w w:val="105"/>
                <w:sz w:val="18"/>
                <w:szCs w:val="18"/>
                <w:lang w:eastAsia="it-IT"/>
              </w:rPr>
            </w:pPr>
            <w:r>
              <w:rPr>
                <w:rFonts w:ascii="Times New Roman" w:hAnsi="Times New Roman"/>
                <w:w w:val="105"/>
                <w:sz w:val="18"/>
                <w:szCs w:val="18"/>
                <w:lang w:eastAsia="it-IT"/>
              </w:rPr>
              <w:t xml:space="preserve">Punti </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ind w:left="48" w:hanging="0"/>
              <w:jc w:val="center"/>
              <w:rPr>
                <w:rFonts w:ascii="Times New Roman" w:hAnsi="Times New Roman"/>
                <w:sz w:val="18"/>
                <w:szCs w:val="18"/>
                <w:lang w:eastAsia="it-IT"/>
              </w:rPr>
            </w:pPr>
            <w:r>
              <w:rPr>
                <w:rFonts w:ascii="Times New Roman" w:hAnsi="Times New Roman"/>
                <w:sz w:val="18"/>
                <w:szCs w:val="18"/>
                <w:lang w:eastAsia="it-IT"/>
              </w:rPr>
              <w:t xml:space="preserve">Riservato al </w:t>
            </w:r>
          </w:p>
          <w:p>
            <w:pPr>
              <w:pStyle w:val="Normal"/>
              <w:widowControl w:val="false"/>
              <w:spacing w:lineRule="auto" w:line="240" w:before="0" w:after="0"/>
              <w:ind w:left="48" w:hanging="0"/>
              <w:jc w:val="center"/>
              <w:rPr>
                <w:rFonts w:ascii="Times New Roman" w:hAnsi="Times New Roman"/>
                <w:sz w:val="18"/>
                <w:szCs w:val="18"/>
                <w:lang w:eastAsia="it-IT"/>
              </w:rPr>
            </w:pPr>
            <w:r>
              <w:rPr>
                <w:rFonts w:ascii="Times New Roman" w:hAnsi="Times New Roman"/>
                <w:sz w:val="18"/>
                <w:szCs w:val="18"/>
                <w:lang w:eastAsia="it-IT"/>
              </w:rPr>
              <w:t xml:space="preserve">Dir.Scol. </w:t>
            </w:r>
          </w:p>
        </w:tc>
      </w:tr>
      <w:tr>
        <w:trPr>
          <w:trHeight w:val="671" w:hRule="atLeast"/>
        </w:trPr>
        <w:tc>
          <w:tcPr>
            <w:tcW w:w="7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A) per ricongiungimento al coniuge ovvero, nel caso di docenti senza coniuge o separati giudizialmente o consensualmente con atto omologato dal  tribunale, per ricongiungimento  ai genitori o ai figli (7)                                                                                                                (Punti 6)</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rHeight w:val="240" w:hRule="exact"/>
        </w:trPr>
        <w:tc>
          <w:tcPr>
            <w:tcW w:w="7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B) per ogni figlio di età inferiore a sei anni (8)                                                                      (Punti 4) </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rHeight w:val="700" w:hRule="atLeast"/>
        </w:trPr>
        <w:tc>
          <w:tcPr>
            <w:tcW w:w="7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(Punti 3) </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rHeight w:val="695" w:hRule="atLeast"/>
        </w:trPr>
        <w:tc>
          <w:tcPr>
            <w:tcW w:w="7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bl>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III - TITOLI GENERALI (15):</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8052"/>
        <w:gridCol w:w="661"/>
        <w:gridCol w:w="925"/>
      </w:tblGrid>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t xml:space="preserve">Tipo di titolo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ind w:left="86" w:hanging="0"/>
              <w:rPr>
                <w:rFonts w:ascii="Times New Roman" w:hAnsi="Times New Roman"/>
                <w:w w:val="105"/>
                <w:sz w:val="18"/>
                <w:szCs w:val="18"/>
                <w:lang w:eastAsia="it-IT"/>
              </w:rPr>
            </w:pPr>
            <w:r>
              <w:rPr>
                <w:rFonts w:ascii="Times New Roman" w:hAnsi="Times New Roman"/>
                <w:w w:val="105"/>
                <w:sz w:val="18"/>
                <w:szCs w:val="18"/>
                <w:lang w:eastAsia="it-IT"/>
              </w:rPr>
              <w:t xml:space="preserve">Punti </w:t>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ind w:left="48" w:hanging="0"/>
              <w:jc w:val="center"/>
              <w:rPr>
                <w:rFonts w:ascii="Times New Roman" w:hAnsi="Times New Roman"/>
                <w:sz w:val="18"/>
                <w:szCs w:val="18"/>
                <w:lang w:eastAsia="it-IT"/>
              </w:rPr>
            </w:pPr>
            <w:r>
              <w:rPr>
                <w:rFonts w:ascii="Times New Roman" w:hAnsi="Times New Roman"/>
                <w:sz w:val="18"/>
                <w:szCs w:val="18"/>
                <w:lang w:eastAsia="it-IT"/>
              </w:rPr>
              <w:t xml:space="preserve">Riservato al  Dir.Scol. </w:t>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A) per ogni promozione di merito distinto                                                                                              (Punti 3)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B) per il superamento di un pubblico concorso ordinario per esami e titoli, per l'accesso al  ruolo di appartenenza (1), al momento della presentazione della domanda, o a ruoli di livello  pari o superiore a quello di appartenenza (10)                                                                                                              (Punti 12</w:t>
            </w:r>
            <w:r>
              <w:rPr>
                <w:rFonts w:cs="Arial" w:ascii="Arial" w:hAnsi="Arial"/>
                <w:sz w:val="18"/>
                <w:szCs w:val="18"/>
                <w:lang w:eastAsia="it-IT"/>
              </w:rPr>
              <w:t xml:space="preserve">)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C)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 per ogni diploma                                                                                                                              (Punti 5)  </w:t>
              <w:br/>
            </w:r>
            <w:r>
              <w:rPr>
                <w:rFonts w:ascii="Times New Roman" w:hAnsi="Times New Roman"/>
                <w:w w:val="109"/>
                <w:sz w:val="18"/>
                <w:szCs w:val="18"/>
                <w:lang w:eastAsia="it-IT"/>
              </w:rPr>
              <w:t xml:space="preserve">(è </w:t>
            </w:r>
            <w:r>
              <w:rPr>
                <w:rFonts w:ascii="Times New Roman" w:hAnsi="Times New Roman"/>
                <w:sz w:val="18"/>
                <w:szCs w:val="18"/>
                <w:lang w:eastAsia="it-IT"/>
              </w:rPr>
              <w:t xml:space="preserve">valutabile un solo diploma, per lo stesso o gli stessi anni accademici o di corso)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pacing w:val="-4"/>
                <w:sz w:val="18"/>
                <w:szCs w:val="18"/>
                <w:lang w:eastAsia="it-IT"/>
              </w:rPr>
            </w:pPr>
            <w:r>
              <w:rPr>
                <w:rFonts w:ascii="Times New Roman" w:hAnsi="Times New Roman"/>
                <w:spacing w:val="-4"/>
                <w:sz w:val="18"/>
                <w:szCs w:val="18"/>
                <w:lang w:eastAsia="it-IT"/>
              </w:rPr>
              <w:t xml:space="preserve">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l'accesso al ruolo di appartenenza 12)                 (Punti 3)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pPr>
              <w:pStyle w:val="Normal"/>
              <w:widowControl w:val="false"/>
              <w:spacing w:lineRule="auto" w:line="240" w:before="0" w:after="0"/>
              <w:rPr>
                <w:rFonts w:ascii="Arial" w:hAnsi="Arial" w:cs="Arial"/>
                <w:sz w:val="18"/>
                <w:szCs w:val="18"/>
                <w:lang w:eastAsia="it-IT"/>
              </w:rPr>
            </w:pPr>
            <w:r>
              <w:rPr>
                <w:rFonts w:ascii="Times New Roman" w:hAnsi="Times New Roman"/>
                <w:sz w:val="18"/>
                <w:szCs w:val="18"/>
                <w:lang w:eastAsia="it-IT"/>
              </w:rPr>
              <w:t>- per ogni corso                                                                                                                                   (Punti 1)</w:t>
            </w:r>
            <w:r>
              <w:rPr>
                <w:rFonts w:cs="Arial" w:ascii="Arial" w:hAnsi="Arial"/>
                <w:sz w:val="18"/>
                <w:szCs w:val="18"/>
                <w:lang w:eastAsia="it-IT"/>
              </w:rPr>
              <w:t xml:space="preserve">  </w:t>
            </w:r>
          </w:p>
          <w:p>
            <w:pPr>
              <w:pStyle w:val="Normal"/>
              <w:widowControl w:val="false"/>
              <w:spacing w:lineRule="auto" w:line="240" w:before="0" w:after="0"/>
              <w:rPr>
                <w:rFonts w:ascii="Times New Roman" w:hAnsi="Times New Roman"/>
                <w:sz w:val="18"/>
                <w:szCs w:val="18"/>
                <w:lang w:eastAsia="it-IT"/>
              </w:rPr>
            </w:pPr>
            <w:r>
              <w:rPr>
                <w:rFonts w:ascii="Times New Roman" w:hAnsi="Times New Roman"/>
                <w:w w:val="109"/>
                <w:sz w:val="18"/>
                <w:szCs w:val="18"/>
                <w:lang w:eastAsia="it-IT"/>
              </w:rPr>
              <w:t xml:space="preserve">(è </w:t>
            </w:r>
            <w:r>
              <w:rPr>
                <w:rFonts w:ascii="Times New Roman" w:hAnsi="Times New Roman"/>
                <w:sz w:val="18"/>
                <w:szCs w:val="18"/>
                <w:lang w:eastAsia="it-IT"/>
              </w:rPr>
              <w:t xml:space="preserve">valutabile un solo corso, per lo stesso o gli stessi anni accademici)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pacing w:val="-4"/>
                <w:sz w:val="18"/>
                <w:szCs w:val="18"/>
                <w:lang w:eastAsia="it-IT"/>
              </w:rPr>
            </w:pPr>
            <w:r>
              <w:rPr>
                <w:rFonts w:ascii="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G) per il conseguimento del titolo di "dottorato di ricerca"(si valuta un solo titolo)                          (Punti 5)  </w:t>
            </w:r>
          </w:p>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(si valuta un solo titolo)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H)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IRRE, CEDE, BDP oggi, rispettivamente, INVALSI, INDIRE) e  dell'università (16)                               (Punti </w:t>
            </w:r>
            <w:r>
              <w:rPr>
                <w:rFonts w:cs="Arial" w:ascii="Arial" w:hAnsi="Arial"/>
                <w:sz w:val="18"/>
                <w:szCs w:val="18"/>
                <w:lang w:eastAsia="it-IT"/>
              </w:rPr>
              <w:t xml:space="preserve">1)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I)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(Punti </w:t>
            </w:r>
            <w:r>
              <w:rPr>
                <w:rFonts w:cs="Arial" w:ascii="Arial" w:hAnsi="Arial"/>
                <w:sz w:val="18"/>
                <w:szCs w:val="18"/>
                <w:lang w:eastAsia="it-IT"/>
              </w:rPr>
              <w:t xml:space="preserve">1)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rHeight w:val="1091" w:hRule="atLeast"/>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L) CLIL di Corso di Perfezionamento per l’insegnamento di una disciplina non linguistica in lingua straniera di cui al Decreto Direttoriale n. 6 del 16 aprile 2012 rilasciato da strutture universitarie in possesso dei requisiti di cui all’art. 3, comma 3 del D.M. del 30 settembre 2011.</w:t>
            </w:r>
          </w:p>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N.B. :il certificato viene rilasciato solo a chi è in possesso di certificazione di Livello C1 del QCER (art. 4 comma 2), ha frequentato il corso metodologico, sostenuto la prova finale                                    (Punti 1)</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 </w:t>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trHeight w:val="885" w:hRule="atLeast"/>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bidi w:val="0"/>
              <w:spacing w:lineRule="auto" w:line="259" w:before="0" w:after="160"/>
              <w:jc w:val="left"/>
              <w:rPr>
                <w:rFonts w:ascii="Times New Roman" w:hAnsi="Times New Roman"/>
                <w:sz w:val="18"/>
                <w:szCs w:val="18"/>
                <w:lang w:eastAsia="it-IT"/>
              </w:rPr>
            </w:pPr>
            <w:r>
              <w:rPr>
                <w:rFonts w:ascii="Times New Roman" w:hAnsi="Times New Roman"/>
                <w:sz w:val="18"/>
                <w:szCs w:val="18"/>
                <w:lang w:eastAsia="it-IT"/>
              </w:rPr>
              <w:t>M) CLIL per i docenti NON in possesso di Certificazione di livello C1, ma che avendo svolto la parte metodologica presso le strutture universitarie, sono in possesso di un ATTESTATO di frequenza al corso di perfezionamento.. NB: in questo caso il docente ha una competenza linguistica B2NON certificata, ma ha frequentato il corso e superato l’esame finale.                                                 (Punti 0,5)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Times New Roman" w:hAnsi="Times New Roman"/>
                <w:sz w:val="18"/>
                <w:szCs w:val="18"/>
                <w:lang w:eastAsia="it-IT"/>
              </w:rPr>
            </w:pPr>
            <w:r>
              <w:rPr>
                <w:rFonts w:ascii="Times New Roman" w:hAnsi="Times New Roman"/>
                <w:sz w:val="18"/>
                <w:szCs w:val="18"/>
                <w:lang w:eastAsia="it-IT"/>
              </w:rPr>
              <w:t xml:space="preserve">N.B. i titoli relativi a C), D), E), F), G), H),L);M) anche cumulabili tra di loro, sono valutati fino ad  un massimo di Punti </w:t>
            </w:r>
            <w:r>
              <w:rPr>
                <w:rFonts w:ascii="Times New Roman" w:hAnsi="Times New Roman"/>
                <w:sz w:val="19"/>
                <w:szCs w:val="19"/>
                <w:lang w:eastAsia="it-IT"/>
              </w:rPr>
              <w:t xml:space="preserve">10 </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c>
          <w:tcPr>
            <w:tcW w:w="9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r>
        <w:trPr>
          <w:cantSplit w:val="true"/>
        </w:trPr>
        <w:tc>
          <w:tcPr>
            <w:tcW w:w="80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ind w:left="153" w:hanging="0"/>
              <w:jc w:val="right"/>
              <w:rPr>
                <w:rFonts w:ascii="Times New Roman" w:hAnsi="Times New Roman"/>
                <w:sz w:val="18"/>
                <w:szCs w:val="18"/>
                <w:lang w:eastAsia="it-IT"/>
              </w:rPr>
            </w:pPr>
            <w:r>
              <w:rPr>
                <w:rFonts w:ascii="Times New Roman" w:hAnsi="Times New Roman"/>
                <w:sz w:val="18"/>
                <w:szCs w:val="18"/>
                <w:lang w:eastAsia="it-IT"/>
              </w:rPr>
              <w:t xml:space="preserve">TOTALE PUNTI </w:t>
            </w:r>
          </w:p>
        </w:tc>
        <w:tc>
          <w:tcPr>
            <w:tcW w:w="15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jc w:val="center"/>
              <w:rPr>
                <w:rFonts w:ascii="Times New Roman" w:hAnsi="Times New Roman"/>
                <w:sz w:val="18"/>
                <w:szCs w:val="18"/>
                <w:lang w:eastAsia="it-IT"/>
              </w:rPr>
            </w:pPr>
            <w:r>
              <w:rPr>
                <w:rFonts w:ascii="Times New Roman" w:hAnsi="Times New Roman"/>
                <w:sz w:val="18"/>
                <w:szCs w:val="18"/>
                <w:lang w:eastAsia="it-IT"/>
              </w:rPr>
            </w:r>
          </w:p>
        </w:tc>
      </w:tr>
    </w:tbl>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SI ALLEGA DICHIARAZIONE DI PERMANENZA DEI REQUISITI SUI BENEFICI DELLA LEGGE 104</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Data …………………….</w:t>
        <w:tab/>
        <w:tab/>
        <w:tab/>
        <w:tab/>
        <w:tab/>
        <w:tab/>
        <w:tab/>
        <w:tab/>
        <w:tab/>
        <w:t>Firma ……………….</w:t>
      </w:r>
    </w:p>
    <w:p>
      <w:pPr>
        <w:pStyle w:val="Normal"/>
        <w:jc w:val="both"/>
        <w:rPr>
          <w:smallCaps/>
          <w:sz w:val="18"/>
          <w:szCs w:val="18"/>
        </w:rPr>
      </w:pPr>
      <w:r>
        <w:rPr>
          <w:smallCaps/>
          <w:sz w:val="18"/>
          <w:szCs w:val="18"/>
        </w:rPr>
      </w:r>
    </w:p>
    <w:p>
      <w:pPr>
        <w:pStyle w:val="Normal"/>
        <w:jc w:val="both"/>
        <w:rPr>
          <w:smallCaps/>
          <w:sz w:val="18"/>
          <w:szCs w:val="18"/>
        </w:rPr>
      </w:pPr>
      <w:r>
        <w:rPr>
          <w:smallCaps/>
          <w:sz w:val="18"/>
          <w:szCs w:val="18"/>
        </w:rPr>
      </w:r>
    </w:p>
    <w:p>
      <w:pPr>
        <w:pStyle w:val="Normal"/>
        <w:jc w:val="both"/>
        <w:rPr>
          <w:smallCaps/>
          <w:sz w:val="18"/>
          <w:szCs w:val="18"/>
        </w:rPr>
      </w:pPr>
      <w:r>
        <w:rPr>
          <w:smallCaps/>
          <w:sz w:val="18"/>
          <w:szCs w:val="18"/>
        </w:rPr>
        <w:t>Note comuni alle tabelle dei trasferimenti a domanda e d’ufficio e dei passaggi dei docenti delle scuole dell’infanzia, primaria, secondaria di I grado e degli istituti di istruzione secondaria di II grado ed artistica e del personale educativo</w:t>
      </w:r>
    </w:p>
    <w:p>
      <w:pPr>
        <w:pStyle w:val="Testo"/>
        <w:ind w:left="0" w:firstLine="284"/>
        <w:rPr>
          <w:sz w:val="18"/>
          <w:szCs w:val="18"/>
        </w:rPr>
      </w:pPr>
      <w:r>
        <w:rPr>
          <w:sz w:val="18"/>
          <w:szCs w:val="18"/>
        </w:rPr>
      </w:r>
    </w:p>
    <w:p>
      <w:pPr>
        <w:pStyle w:val="Testo"/>
        <w:ind w:left="0" w:hanging="0"/>
        <w:rPr>
          <w:i/>
          <w:i/>
          <w:sz w:val="18"/>
          <w:szCs w:val="18"/>
        </w:rPr>
      </w:pPr>
      <w:r>
        <w:rPr>
          <w:i/>
          <w:sz w:val="18"/>
          <w:szCs w:val="18"/>
        </w:rPr>
        <w:t>Premessa</w:t>
      </w:r>
    </w:p>
    <w:p>
      <w:pPr>
        <w:pStyle w:val="Testo"/>
        <w:ind w:left="0" w:firstLine="284"/>
        <w:rPr>
          <w:sz w:val="18"/>
          <w:szCs w:val="18"/>
        </w:rPr>
      </w:pPr>
      <w:r>
        <w:rPr>
          <w:sz w:val="18"/>
          <w:szCs w:val="18"/>
        </w:rPr>
        <w:t>Ai fini dell’attribuzione del punteggio per le domande di trasferimento, per le domande di passaggio di ruolo e per l’individuazione del perdente posto si precisa quanto segue:</w:t>
      </w:r>
    </w:p>
    <w:p>
      <w:pPr>
        <w:pStyle w:val="Testo"/>
        <w:ind w:left="0" w:firstLine="284"/>
        <w:rPr>
          <w:sz w:val="18"/>
          <w:szCs w:val="18"/>
        </w:rPr>
      </w:pPr>
      <w:r>
        <w:rPr>
          <w:sz w:val="18"/>
          <w:szCs w:val="18"/>
        </w:rPr>
        <w:t>- nell’anzianità di servizio non si tiene conto dell’anno scolastico in corso;</w:t>
      </w:r>
    </w:p>
    <w:p>
      <w:pPr>
        <w:pStyle w:val="Testo"/>
        <w:ind w:left="0" w:firstLine="284"/>
        <w:rPr>
          <w:sz w:val="18"/>
          <w:szCs w:val="18"/>
        </w:rPr>
      </w:pPr>
      <w:r>
        <w:rPr>
          <w:sz w:val="18"/>
          <w:szCs w:val="18"/>
        </w:rPr>
        <w:t>- nella valutazione dei titoli vengono considerati quelli posseduti entro il termine previsto per la presentazione delle domande dall’annuale O.M.;</w:t>
      </w:r>
    </w:p>
    <w:p>
      <w:pPr>
        <w:pStyle w:val="Testo"/>
        <w:ind w:left="0" w:firstLine="284"/>
        <w:rPr>
          <w:sz w:val="18"/>
          <w:szCs w:val="18"/>
        </w:rPr>
      </w:pPr>
      <w:r>
        <w:rPr>
          <w:sz w:val="18"/>
          <w:szCs w:val="18"/>
        </w:rPr>
        <w:t>- 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pPr>
        <w:pStyle w:val="Testo"/>
        <w:ind w:left="0" w:firstLine="284"/>
        <w:rPr>
          <w:sz w:val="18"/>
          <w:szCs w:val="18"/>
        </w:rPr>
      </w:pPr>
      <w:r>
        <w:rPr>
          <w:sz w:val="18"/>
          <w:szCs w:val="18"/>
        </w:rPr>
        <w:t>L’anzianità di servizio di cui alle lettere A) e B) del punto I della tabella deve essere attestata dall’interessato, con apposita dichiarazione personale Non interrompe la maturazione del punteggio del servizio la fruizione del congedo biennale per l’assistenza a familiari con grave disabilità di cui agli artt. 32, 33 e 34 comma 5 del D.L.vo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 legge 30.3.1976, n. 88 art. 16. Il servizio prestato in ruoli diversi da quello di appartenenza, a seguito di utilizzazione o assegnazione provvisoria, è valutato ai sensi della lettera A) con riferimento al ruolo di appartenenza.</w:t>
      </w:r>
    </w:p>
    <w:p>
      <w:pPr>
        <w:pStyle w:val="Testo"/>
        <w:ind w:left="0" w:firstLine="284"/>
        <w:rPr>
          <w:bCs/>
          <w:strike/>
          <w:sz w:val="18"/>
          <w:szCs w:val="18"/>
        </w:rPr>
      </w:pPr>
      <w:r>
        <w:rPr>
          <w:sz w:val="18"/>
          <w:szCs w:val="18"/>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Pr>
          <w:bCs/>
          <w:sz w:val="18"/>
          <w:szCs w:val="18"/>
        </w:rPr>
        <w:t>ed i</w:t>
      </w:r>
      <w:r>
        <w:rPr>
          <w:sz w:val="18"/>
          <w:szCs w:val="18"/>
        </w:rPr>
        <w:t xml:space="preserve"> </w:t>
      </w:r>
      <w:r>
        <w:rPr>
          <w:bCs/>
          <w:sz w:val="18"/>
          <w:szCs w:val="18"/>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w:t>
      </w:r>
      <w:r>
        <w:rPr>
          <w:bCs/>
          <w:strike/>
          <w:sz w:val="18"/>
          <w:szCs w:val="18"/>
        </w:rPr>
        <w:t xml:space="preserve"> </w:t>
      </w:r>
      <w:r>
        <w:rPr>
          <w:bCs/>
          <w:sz w:val="18"/>
          <w:szCs w:val="18"/>
        </w:rPr>
        <w:t>devono essere debitamente certificati dall’Autorità diplomatica italiana nello Stato estero</w:t>
      </w:r>
    </w:p>
    <w:p>
      <w:pPr>
        <w:pStyle w:val="Testo"/>
        <w:ind w:left="0" w:firstLine="284"/>
        <w:rPr>
          <w:sz w:val="18"/>
          <w:szCs w:val="18"/>
        </w:rPr>
      </w:pPr>
      <w:r>
        <w:rPr>
          <w:sz w:val="18"/>
          <w:szCs w:val="18"/>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è da valutare con lo stesso punteggio previsto per il servizio non di ruolo. Tale servizio, qualora abbia avuto una durata superiore a 180 gg interrompe la continuità.</w:t>
      </w:r>
    </w:p>
    <w:p>
      <w:pPr>
        <w:pStyle w:val="Testo"/>
        <w:ind w:left="0" w:firstLine="284"/>
        <w:rPr>
          <w:spacing w:val="-2"/>
          <w:sz w:val="18"/>
          <w:szCs w:val="18"/>
        </w:rPr>
      </w:pPr>
      <w:r>
        <w:rPr>
          <w:spacing w:val="-2"/>
          <w:sz w:val="18"/>
          <w:szCs w:val="18"/>
        </w:rPr>
        <w:t xml:space="preserve">La valutazione del servizio di cui alle lettere A), A1) e B) è riconosciuta anche al personale proveniente dagli Enti Locali e che abbia svolto, prima del trasferimento allo Stato, effettivo servizio di docente nelle scuole statali. Per gli insegnanti di educazione fisica non è riconoscibile il servizio prestato senza il possesso del diploma rilasciato dall’I.S.E.F. o di titoli equipollenti secondo l’ordinamento anteriore alla legge 7.2.1958, n. 88 (tab. A, classe A029 e A 030 D.M. 30.1.1998 n. 39 e successive modifiche). </w:t>
      </w:r>
    </w:p>
    <w:p>
      <w:pPr>
        <w:pStyle w:val="Testo"/>
        <w:ind w:left="0" w:firstLine="284"/>
        <w:rPr>
          <w:spacing w:val="-2"/>
          <w:sz w:val="18"/>
          <w:szCs w:val="18"/>
        </w:rPr>
      </w:pPr>
      <w:r>
        <w:rPr>
          <w:spacing w:val="-2"/>
          <w:sz w:val="18"/>
          <w:szCs w:val="18"/>
        </w:rPr>
        <w:t>La valutazione degli anni del servizio pre-ruolo nella mobilità a domanda viene effettuata per intero (6 punti per ogni anno). Nella mobilità d’ufficio viene effettuata nella seguente maniera:- i primi 4 anni sono valutati 3 punti per ogni anno - il periodo eccedente i 4 anni è valutato per i 2/3 (due punti per ogni anno).</w:t>
      </w:r>
    </w:p>
    <w:p>
      <w:pPr>
        <w:pStyle w:val="Testo"/>
        <w:ind w:left="0" w:firstLine="284"/>
        <w:rPr>
          <w:sz w:val="18"/>
          <w:szCs w:val="18"/>
        </w:rPr>
      </w:pPr>
      <w:r>
        <w:rPr>
          <w:sz w:val="18"/>
          <w:szCs w:val="18"/>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pPr>
        <w:pStyle w:val="Testo"/>
        <w:ind w:left="0" w:firstLine="284"/>
        <w:rPr>
          <w:sz w:val="18"/>
          <w:szCs w:val="18"/>
        </w:rPr>
      </w:pPr>
      <w:r>
        <w:rPr>
          <w:sz w:val="18"/>
          <w:szCs w:val="18"/>
        </w:rPr>
        <w:t xml:space="preserve">primi 4 anni (valutati per intero) </w:t>
      </w:r>
      <w:r>
        <w:rPr>
          <w:rFonts w:eastAsia="Symbol" w:cs="Symbol" w:ascii="Symbol" w:hAnsi="Symbol"/>
          <w:sz w:val="18"/>
          <w:szCs w:val="18"/>
        </w:rPr>
        <w:t></w:t>
      </w:r>
      <w:r>
        <w:rPr>
          <w:sz w:val="18"/>
          <w:szCs w:val="18"/>
        </w:rPr>
        <w:t xml:space="preserve"> 4 anni x 3 punti = 12 punti</w:t>
      </w:r>
    </w:p>
    <w:p>
      <w:pPr>
        <w:pStyle w:val="Testo"/>
        <w:ind w:left="0" w:firstLine="284"/>
        <w:rPr>
          <w:sz w:val="18"/>
          <w:szCs w:val="18"/>
          <w:u w:val="single"/>
        </w:rPr>
      </w:pPr>
      <w:r>
        <w:rPr>
          <w:sz w:val="18"/>
          <w:szCs w:val="18"/>
          <w:u w:val="single"/>
        </w:rPr>
        <w:t xml:space="preserve">rimanenti 2 anni (valutati due terzi) </w:t>
      </w:r>
      <w:r>
        <w:rPr>
          <w:rFonts w:eastAsia="Symbol" w:cs="Symbol" w:ascii="Symbol" w:hAnsi="Symbol"/>
          <w:sz w:val="18"/>
          <w:szCs w:val="18"/>
          <w:u w:val="single"/>
        </w:rPr>
        <w:t></w:t>
      </w:r>
      <w:r>
        <w:rPr>
          <w:sz w:val="18"/>
          <w:szCs w:val="18"/>
          <w:u w:val="single"/>
        </w:rPr>
        <w:t xml:space="preserve"> 2/3 x 2 anni x 3 punti = 4 punti</w:t>
      </w:r>
    </w:p>
    <w:p>
      <w:pPr>
        <w:pStyle w:val="Testo"/>
        <w:ind w:left="0" w:firstLine="284"/>
        <w:rPr>
          <w:sz w:val="18"/>
          <w:szCs w:val="18"/>
        </w:rPr>
      </w:pPr>
      <w:r>
        <w:rPr>
          <w:sz w:val="18"/>
          <w:szCs w:val="18"/>
        </w:rPr>
        <w:t xml:space="preserve">totale: 12 punti + 4 punti </w:t>
      </w:r>
      <w:r>
        <w:rPr>
          <w:rFonts w:eastAsia="Symbol" w:cs="Symbol" w:ascii="Symbol" w:hAnsi="Symbol"/>
          <w:sz w:val="18"/>
          <w:szCs w:val="18"/>
        </w:rPr>
        <w:t></w:t>
      </w:r>
      <w:r>
        <w:rPr>
          <w:sz w:val="18"/>
          <w:szCs w:val="18"/>
        </w:rPr>
        <w:t xml:space="preserve"> 16 punti.</w:t>
      </w:r>
    </w:p>
    <w:p>
      <w:pPr>
        <w:pStyle w:val="Testo"/>
        <w:ind w:left="0" w:firstLine="284"/>
        <w:rPr>
          <w:sz w:val="18"/>
          <w:szCs w:val="18"/>
        </w:rPr>
      </w:pPr>
      <w:r>
        <w:rPr>
          <w:sz w:val="18"/>
          <w:szCs w:val="18"/>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pPr>
        <w:pStyle w:val="Testo"/>
        <w:ind w:left="0" w:firstLine="284"/>
        <w:rPr>
          <w:strike/>
          <w:sz w:val="18"/>
          <w:szCs w:val="18"/>
        </w:rPr>
      </w:pPr>
      <w:r>
        <w:rPr>
          <w:sz w:val="18"/>
          <w:szCs w:val="18"/>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pPr>
        <w:pStyle w:val="Testo"/>
        <w:ind w:left="0" w:firstLine="284"/>
        <w:rPr>
          <w:sz w:val="18"/>
          <w:szCs w:val="18"/>
        </w:rPr>
      </w:pPr>
      <w:r>
        <w:rPr>
          <w:sz w:val="18"/>
          <w:szCs w:val="18"/>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pPr>
        <w:pStyle w:val="Testo"/>
        <w:ind w:left="0" w:firstLine="284"/>
        <w:rPr>
          <w:sz w:val="18"/>
          <w:szCs w:val="18"/>
        </w:rPr>
      </w:pPr>
      <w:r>
        <w:rPr>
          <w:sz w:val="18"/>
          <w:szCs w:val="18"/>
        </w:rPr>
        <w:t>Al personale docente di ruolo che abbia frequentato, ai sensi dell’art. 2 della legge 13.8.1984, n. 476, i corsi di dottorato di ricerca e al personale docente di ruolo assegnatario di borse di studio o assegni di ricerca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Analogamente sono riconosciuti utili gli anni di servizio come ricercatore a tempo determinato del personale docente già di ruolo, ai sensi della legge 240/10 e s.i.m.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pPr>
        <w:pStyle w:val="Testo"/>
        <w:ind w:left="0" w:firstLine="284"/>
        <w:rPr>
          <w:sz w:val="18"/>
          <w:szCs w:val="18"/>
        </w:rPr>
      </w:pPr>
      <w:r>
        <w:rPr>
          <w:sz w:val="18"/>
          <w:szCs w:val="18"/>
        </w:rPr>
        <w:t xml:space="preserve">Il servizio prestato nelle scuole paritarie non è valutabile in quanto non riconoscibile ai fini della ricostruzione di carriera. È fatto salvo il riconoscimento del servizio prestato: </w:t>
      </w:r>
    </w:p>
    <w:p>
      <w:pPr>
        <w:pStyle w:val="Testo"/>
        <w:ind w:left="0" w:firstLine="284"/>
        <w:rPr>
          <w:sz w:val="18"/>
          <w:szCs w:val="18"/>
        </w:rPr>
      </w:pPr>
      <w:r>
        <w:rPr>
          <w:sz w:val="18"/>
          <w:szCs w:val="18"/>
        </w:rPr>
        <w:t>a) fino al 31.8.2008 nelle scuole paritarie primarie che abbiano mantenuto lo status di parificate congiuntamente a quello di paritarie</w:t>
      </w:r>
    </w:p>
    <w:p>
      <w:pPr>
        <w:pStyle w:val="Testo"/>
        <w:ind w:left="0" w:firstLine="284"/>
        <w:rPr>
          <w:sz w:val="18"/>
          <w:szCs w:val="18"/>
        </w:rPr>
      </w:pPr>
      <w:r>
        <w:rPr>
          <w:sz w:val="18"/>
          <w:szCs w:val="18"/>
        </w:rPr>
        <w:t xml:space="preserve">b) nelle scuole paritarie dell’infanzia comunali </w:t>
      </w:r>
    </w:p>
    <w:p>
      <w:pPr>
        <w:pStyle w:val="Testo"/>
        <w:ind w:left="0" w:firstLine="284"/>
        <w:rPr>
          <w:sz w:val="18"/>
          <w:szCs w:val="18"/>
        </w:rPr>
      </w:pPr>
      <w:r>
        <w:rPr>
          <w:sz w:val="18"/>
          <w:szCs w:val="18"/>
        </w:rPr>
        <w:t>c) nelle scuole secondarie pareggiate (art. 360 del T.U.).</w:t>
      </w:r>
    </w:p>
    <w:p>
      <w:pPr>
        <w:pStyle w:val="Testo"/>
        <w:ind w:left="0" w:firstLine="284"/>
        <w:rPr>
          <w:sz w:val="18"/>
          <w:szCs w:val="18"/>
        </w:rPr>
      </w:pPr>
      <w:r>
        <w:rPr>
          <w:sz w:val="18"/>
          <w:szCs w:val="18"/>
        </w:rPr>
      </w:r>
    </w:p>
    <w:p>
      <w:pPr>
        <w:pStyle w:val="Testo"/>
        <w:ind w:left="0" w:firstLine="284"/>
        <w:rPr>
          <w:sz w:val="18"/>
          <w:szCs w:val="18"/>
        </w:rPr>
      </w:pPr>
      <w:r>
        <w:rPr>
          <w:sz w:val="18"/>
          <w:szCs w:val="18"/>
        </w:rPr>
      </w:r>
    </w:p>
    <w:p>
      <w:pPr>
        <w:pStyle w:val="Testo"/>
        <w:ind w:left="0" w:hanging="0"/>
        <w:rPr>
          <w:i/>
          <w:i/>
          <w:sz w:val="18"/>
          <w:szCs w:val="18"/>
        </w:rPr>
      </w:pPr>
      <w:r>
        <w:rPr>
          <w:i/>
          <w:sz w:val="18"/>
          <w:szCs w:val="18"/>
        </w:rPr>
        <w:t>Note</w:t>
      </w:r>
    </w:p>
    <w:p>
      <w:pPr>
        <w:pStyle w:val="Testo"/>
        <w:ind w:left="0" w:firstLine="284"/>
        <w:rPr>
          <w:sz w:val="18"/>
          <w:szCs w:val="18"/>
        </w:rPr>
      </w:pPr>
      <w:r>
        <w:rPr>
          <w:sz w:val="18"/>
          <w:szCs w:val="18"/>
          <w:vertAlign w:val="superscript"/>
        </w:rPr>
        <w:t>(1)</w:t>
      </w:r>
      <w:r>
        <w:rPr>
          <w:sz w:val="18"/>
          <w:szCs w:val="18"/>
        </w:rPr>
        <w:t xml:space="preserve"> Il ruolo di appartenenza va riferito rispettivamente: a) alla scuola dell’infanzia; b) alla scuola primaria; c) alla scuola secondaria di I grado; d) agli istituti di istruzione secondaria di II grado e artistica. Va valutato nella misura prevista dalla presente voce il servizio prestato, a decorrere dall’anno scolastico 1978/79, dalle assistenti di scuola materna statale utilizzate, ai sensi dell’articolo 8 della legge n. 463/78, come insegnanti di scuola materna. 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il punteggio è raddoppiato. Relativamente ai docenti delle scuole primarie, per ogni anno di insegnamento</w:t>
      </w:r>
      <w:r>
        <w:rPr>
          <w:strike/>
          <w:sz w:val="18"/>
          <w:szCs w:val="18"/>
        </w:rPr>
        <w:t xml:space="preserve"> </w:t>
      </w:r>
      <w:r>
        <w:rPr>
          <w:sz w:val="18"/>
          <w:szCs w:val="18"/>
        </w:rPr>
        <w:t>nelle scuole di montagna ai sensi della legge 1/3/1957, n. 90, il punteggio è raddoppiato. Per l’attribuzione del punteggio si prescinde dal requisito della residenza in sede. Per ogni anno di servizio prestato nei paesi in via di sviluppo il punteggio è raddoppiato.</w:t>
      </w:r>
    </w:p>
    <w:p>
      <w:pPr>
        <w:pStyle w:val="Testo"/>
        <w:ind w:left="0" w:firstLine="284"/>
        <w:rPr>
          <w:sz w:val="18"/>
          <w:szCs w:val="18"/>
        </w:rPr>
      </w:pPr>
      <w:r>
        <w:rPr>
          <w:sz w:val="18"/>
          <w:szCs w:val="18"/>
          <w:vertAlign w:val="superscript"/>
        </w:rPr>
        <w:t>(2)</w:t>
      </w:r>
      <w:r>
        <w:rPr>
          <w:sz w:val="18"/>
          <w:szCs w:val="18"/>
        </w:rPr>
        <w:t xml:space="preserve">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pPr>
        <w:pStyle w:val="Testo"/>
        <w:ind w:left="0" w:firstLine="284"/>
        <w:rPr>
          <w:sz w:val="18"/>
          <w:szCs w:val="18"/>
        </w:rPr>
      </w:pPr>
      <w:r>
        <w:rPr>
          <w:sz w:val="18"/>
          <w:szCs w:val="18"/>
          <w:vertAlign w:val="superscript"/>
        </w:rPr>
        <w:t>(3)</w:t>
      </w:r>
      <w:r>
        <w:rPr>
          <w:sz w:val="18"/>
          <w:szCs w:val="18"/>
        </w:rPr>
        <w:t xml:space="preserve"> 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pPr>
        <w:pStyle w:val="Testo"/>
        <w:ind w:left="0" w:firstLine="284"/>
        <w:rPr>
          <w:sz w:val="18"/>
          <w:szCs w:val="18"/>
        </w:rPr>
      </w:pPr>
      <w:r>
        <w:rPr>
          <w:sz w:val="18"/>
          <w:szCs w:val="18"/>
          <w:vertAlign w:val="superscript"/>
        </w:rPr>
        <w:t>(4)</w:t>
      </w:r>
      <w:r>
        <w:rPr>
          <w:sz w:val="18"/>
          <w:szCs w:val="18"/>
        </w:rPr>
        <w:t xml:space="preserve">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 ruolo e un precedente servizio di altro ruolo è valutato 6 punti per ogni anno per tutti gli anni. Il servizio pre ruolo ai fini della compilazione delle graduatorie interne per l’individuazione del perdente posto continua ad essere valutato 3 punti per i primi quattro anni e 2 per i successivi.</w:t>
      </w:r>
      <w:r>
        <w:rPr>
          <w:color w:val="FF0000"/>
          <w:sz w:val="18"/>
          <w:szCs w:val="18"/>
        </w:rPr>
        <w:t xml:space="preserve"> </w:t>
      </w:r>
      <w:r>
        <w:rPr>
          <w:sz w:val="18"/>
          <w:szCs w:val="18"/>
        </w:rPr>
        <w:t xml:space="preserve">Nella mobilità d’ufficio in merito alla valutazione di un precedente servizio di ruolo, prestato in un ruolo diverso, si precisa che gli anni di servizio di ruolo prestati nella scuola dell’infanzia si valutano per intero (3 punti per ogni anno per tutti gli anni) ai sensi della presente voce, nella scuola primaria (e viceversa), mentre si sommano al pre-ruolo e si valutano come pre-ruolo (3 punti per i primi quattro anni e 2 per i successivi), analogamente al ruolo della scuola primaria, nella scuola secondaria sia di primo che di secondo grado. Gli anni di un precedente servizio di ruolo prestato nella scuola secondaria di primo grado si valutano per intero (3 punti per ogni anno per tutti gli anni), sempre ai sensi della presente voce, nella scuola secondaria di secondo grado (e viceversa), mentre si sommano agli anni di pre-ruolo e si valutano come pre-ruolo (3 punti per i primi quattro anni e 2 per i successivi) se attualmente si è titolari nella scuola primaria o nella scuola dell’infanzia. 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 Per ogni anno di insegnamento prestato, con il possesso del prescritto titolo di specializzazione, nelle scuole speciali o ad indirizzo didattico differenziato o nelle classi differenziali,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pPr>
        <w:pStyle w:val="Testo"/>
        <w:ind w:left="0" w:firstLine="284"/>
        <w:rPr>
          <w:sz w:val="18"/>
          <w:szCs w:val="18"/>
        </w:rPr>
      </w:pPr>
      <w:r>
        <w:rPr>
          <w:sz w:val="18"/>
          <w:szCs w:val="18"/>
          <w:vertAlign w:val="superscript"/>
        </w:rPr>
        <w:t>(5)</w:t>
      </w:r>
      <w:r>
        <w:rPr>
          <w:sz w:val="18"/>
          <w:szCs w:val="18"/>
        </w:rPr>
        <w:t xml:space="preserve"> La continuità del servizio prestato ininterrottamente da almeno un triennio nella scuola di attuale titolarità ovvero nella scuola di servizio per il personale ex titolare di Dotazione Organica di Sostegno (DOS) nella scuola secondaria di II grado (lettera C, del titolo I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w:t>
      </w:r>
      <w:r>
        <w:rPr>
          <w:color w:val="FF0000"/>
          <w:sz w:val="18"/>
          <w:szCs w:val="18"/>
        </w:rPr>
        <w:t xml:space="preserve"> </w:t>
      </w:r>
      <w:r>
        <w:rPr>
          <w:sz w:val="18"/>
          <w:szCs w:val="18"/>
        </w:rPr>
        <w:t>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titolo I, punto II), - Personale trasferito d’ufficio nell’ultimo ottennio del presente contratto. 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nonché per il periodo di servizio prestato nei progetti previsti dall’art 1 comma 65 della legge 107/15.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 Il punteggio va attribuito se la scuola di titolarità giuridica e la scuola in cui l’interessato ha prestato servizio continuativo coincidono per 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w:t>
      </w:r>
    </w:p>
    <w:p>
      <w:pPr>
        <w:pStyle w:val="Testo"/>
        <w:ind w:left="0" w:firstLine="284"/>
        <w:rPr>
          <w:sz w:val="18"/>
          <w:szCs w:val="18"/>
        </w:rPr>
      </w:pPr>
      <w:r>
        <w:rPr>
          <w:sz w:val="18"/>
          <w:szCs w:val="18"/>
          <w:vertAlign w:val="superscript"/>
        </w:rPr>
        <w:t>(5 bis)</w:t>
      </w:r>
      <w:r>
        <w:rPr>
          <w:sz w:val="18"/>
          <w:szCs w:val="18"/>
        </w:rPr>
        <w:t xml:space="preserve">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pPr>
        <w:pStyle w:val="Testo"/>
        <w:ind w:left="0" w:firstLine="284"/>
        <w:rPr>
          <w:sz w:val="18"/>
          <w:szCs w:val="18"/>
          <w:lang w:eastAsia="en-US"/>
        </w:rPr>
      </w:pPr>
      <w:r>
        <w:rPr>
          <w:sz w:val="18"/>
          <w:szCs w:val="18"/>
          <w:lang w:eastAsia="en-US"/>
        </w:rPr>
        <w:t xml:space="preserve">C) Per ogni anno di servizio di ruolo prestato nella scuola di attuale titolarità o di incarico triennale senza soluzione di continuità in aggiunta a quello previsto dalle lettere A), A1), B), B1), B2) </w:t>
      </w:r>
    </w:p>
    <w:p>
      <w:pPr>
        <w:pStyle w:val="Testo"/>
        <w:ind w:left="0" w:firstLine="284"/>
        <w:rPr>
          <w:sz w:val="18"/>
          <w:szCs w:val="18"/>
          <w:lang w:eastAsia="en-US"/>
        </w:rPr>
      </w:pPr>
      <w:r>
        <w:rPr>
          <w:sz w:val="18"/>
          <w:szCs w:val="18"/>
          <w:lang w:eastAsia="en-US"/>
        </w:rPr>
        <w:t>- entro il quinquennio: Punti 2</w:t>
      </w:r>
    </w:p>
    <w:p>
      <w:pPr>
        <w:pStyle w:val="Testo"/>
        <w:ind w:left="0" w:firstLine="284"/>
        <w:rPr>
          <w:sz w:val="18"/>
          <w:szCs w:val="18"/>
          <w:lang w:eastAsia="en-US"/>
        </w:rPr>
      </w:pPr>
      <w:r>
        <w:rPr>
          <w:sz w:val="18"/>
          <w:szCs w:val="18"/>
          <w:lang w:eastAsia="en-US"/>
        </w:rPr>
        <w:t>- oltre il quinquennio: Punti 3</w:t>
      </w:r>
    </w:p>
    <w:p>
      <w:pPr>
        <w:pStyle w:val="Testo"/>
        <w:ind w:left="0" w:firstLine="284"/>
        <w:rPr>
          <w:sz w:val="18"/>
          <w:szCs w:val="18"/>
        </w:rPr>
      </w:pPr>
      <w:r>
        <w:rPr>
          <w:sz w:val="18"/>
          <w:szCs w:val="18"/>
        </w:rPr>
        <w:t>Sempre ai fini della formazione della graduatoria per l’individuazione del soprannumerario ed ai fini del trasferimento d’ufficio, viene valutata anche la continuità di servizio nella comune di attuale titolarità, nella seguente misura:</w:t>
      </w:r>
    </w:p>
    <w:p>
      <w:pPr>
        <w:pStyle w:val="Testo"/>
        <w:ind w:left="0" w:firstLine="284"/>
        <w:rPr>
          <w:sz w:val="18"/>
          <w:szCs w:val="18"/>
          <w:lang w:eastAsia="en-US"/>
        </w:rPr>
      </w:pPr>
      <w:r>
        <w:rPr>
          <w:sz w:val="18"/>
          <w:szCs w:val="18"/>
          <w:lang w:eastAsia="en-US"/>
        </w:rPr>
        <w:t>C 0) Per ogni anno di servizio di ruolo prestato nel comune di attuale titolarità o di incarico triennale senza soluzione di continuità in aggiunta a quello previsto dalle lettere A), A1), B), B1), B2): Punti 1</w:t>
      </w:r>
    </w:p>
    <w:p>
      <w:pPr>
        <w:pStyle w:val="Testo"/>
        <w:ind w:left="0" w:firstLine="284"/>
        <w:rPr>
          <w:sz w:val="18"/>
          <w:szCs w:val="18"/>
        </w:rPr>
      </w:pPr>
      <w:r>
        <w:rPr>
          <w:sz w:val="18"/>
          <w:szCs w:val="18"/>
        </w:rPr>
        <w:t>Il predetto punteggio va attribuito se la sede di titolarità giuridica e la sede in cui l’interessato ha prestato servizio continuativo coincidono per il periodo considerato. Il punteggio va anche attribuito nel caso di diritto al rientro 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Per i docenti il servizio deve essere stato prestato nella stessa tipologia di posto (comune o sostegno) e per la scuola di istruzione secondaria di primo e secondo grado e artistica,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dell’ottennio non sia rientrato nella scuola di precedente titolarità ma in altra scuola dello stesso comune, ha titolo al mantenimento del punteggio di cui alla lett. C 0) anche per tutti gli 8 anni dell’ottennio. Non va valutato l’anno scolastico in corso al momento di presentazione della domanda. Il punteggio di cui alla lettera C 0) non è cumulabile per lo stesso anno scolastico con quello previsto dalla lettera C).</w:t>
      </w:r>
    </w:p>
    <w:p>
      <w:pPr>
        <w:pStyle w:val="Testo"/>
        <w:ind w:left="0" w:firstLine="284"/>
        <w:rPr>
          <w:sz w:val="18"/>
          <w:szCs w:val="18"/>
        </w:rPr>
      </w:pPr>
      <w:r>
        <w:rPr>
          <w:sz w:val="18"/>
          <w:szCs w:val="18"/>
          <w:vertAlign w:val="superscript"/>
        </w:rPr>
        <w:t>(5 ter)</w:t>
      </w:r>
      <w:r>
        <w:rPr>
          <w:sz w:val="18"/>
          <w:szCs w:val="18"/>
        </w:rPr>
        <w:t xml:space="preserve">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pPr>
        <w:pStyle w:val="Testo"/>
        <w:tabs>
          <w:tab w:val="left" w:pos="900" w:leader="none"/>
          <w:tab w:val="left" w:pos="1420" w:leader="none"/>
        </w:tabs>
        <w:ind w:left="0" w:firstLine="284"/>
        <w:rPr>
          <w:sz w:val="18"/>
          <w:szCs w:val="18"/>
        </w:rPr>
      </w:pPr>
      <w:r>
        <w:rPr>
          <w:b/>
          <w:sz w:val="18"/>
          <w:szCs w:val="18"/>
        </w:rPr>
        <w:t xml:space="preserve">- </w:t>
      </w:r>
      <w:r>
        <w:rPr>
          <w:sz w:val="18"/>
          <w:szCs w:val="18"/>
        </w:rPr>
        <w:t>domanda condizionata di trasferimento, in quanto individuati soprannumerari;</w:t>
      </w:r>
    </w:p>
    <w:p>
      <w:pPr>
        <w:pStyle w:val="Testo"/>
        <w:tabs>
          <w:tab w:val="left" w:pos="900" w:leader="none"/>
          <w:tab w:val="left" w:pos="1420" w:leader="none"/>
        </w:tabs>
        <w:ind w:left="0" w:firstLine="284"/>
        <w:rPr>
          <w:sz w:val="18"/>
          <w:szCs w:val="18"/>
        </w:rPr>
      </w:pPr>
      <w:r>
        <w:rPr>
          <w:b/>
          <w:sz w:val="18"/>
          <w:szCs w:val="18"/>
        </w:rPr>
        <w:t xml:space="preserve">- </w:t>
      </w:r>
      <w:r>
        <w:rPr>
          <w:sz w:val="18"/>
          <w:szCs w:val="18"/>
        </w:rPr>
        <w:t>domanda di trasferimento per la scuola primaria tra i posti comune e lingua straniera nell’organico dello stesso circolo di titolarità;</w:t>
      </w:r>
    </w:p>
    <w:p>
      <w:pPr>
        <w:pStyle w:val="Testo"/>
        <w:tabs>
          <w:tab w:val="left" w:pos="900" w:leader="none"/>
          <w:tab w:val="left" w:pos="1420" w:leader="none"/>
        </w:tabs>
        <w:ind w:left="0" w:firstLine="284"/>
        <w:rPr>
          <w:sz w:val="18"/>
          <w:szCs w:val="18"/>
        </w:rPr>
      </w:pPr>
      <w:r>
        <w:rPr>
          <w:b/>
          <w:sz w:val="18"/>
          <w:szCs w:val="18"/>
        </w:rPr>
        <w:t xml:space="preserve">- </w:t>
      </w:r>
      <w:r>
        <w:rPr>
          <w:sz w:val="18"/>
          <w:szCs w:val="18"/>
        </w:rPr>
        <w:t>domanda di rientro nella scuola di precedente titolarità, nel quinquennio di fruizione del diritto alla precedenza di cui ai punti II e V dell’art. 13, comma 1 del CCNI.</w:t>
      </w:r>
    </w:p>
    <w:p>
      <w:pPr>
        <w:pStyle w:val="Testo"/>
        <w:ind w:left="0" w:firstLine="284"/>
        <w:rPr>
          <w:sz w:val="18"/>
          <w:szCs w:val="18"/>
        </w:rPr>
      </w:pPr>
      <w:r>
        <w:rPr>
          <w:sz w:val="18"/>
          <w:szCs w:val="18"/>
        </w:rPr>
        <w:t>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pPr>
        <w:pStyle w:val="Testo"/>
        <w:ind w:left="0" w:firstLine="284"/>
        <w:rPr>
          <w:sz w:val="18"/>
          <w:szCs w:val="18"/>
        </w:rPr>
      </w:pPr>
      <w:r>
        <w:rPr>
          <w:sz w:val="18"/>
          <w:szCs w:val="18"/>
          <w:vertAlign w:val="superscript"/>
        </w:rPr>
        <w:t>(6)</w:t>
      </w:r>
      <w:r>
        <w:rPr>
          <w:sz w:val="18"/>
          <w:szCs w:val="18"/>
        </w:rPr>
        <w:t xml:space="preserve">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o per l’ambito o gli ambiti che comprendono il comune anche se coincidenti con la titolarità di scuola o ambito. Il punteggio spetta</w:t>
      </w:r>
      <w:r>
        <w:rPr>
          <w:strike/>
          <w:sz w:val="18"/>
          <w:szCs w:val="18"/>
        </w:rPr>
        <w:t>no</w:t>
      </w:r>
      <w:r>
        <w:rPr>
          <w:sz w:val="18"/>
          <w:szCs w:val="18"/>
        </w:rPr>
        <w:t xml:space="preserve">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I punteggi per le esigenze di famiglia di cui alle lettere A), B), C), D) sono cumulabili fra loro. Ai sensi della legge 76 del 20 maggio 2016 per coniuge si intende anche la parte dell’unione civile. </w:t>
      </w:r>
    </w:p>
    <w:p>
      <w:pPr>
        <w:pStyle w:val="Testo"/>
        <w:ind w:left="0" w:firstLine="284"/>
        <w:rPr>
          <w:sz w:val="18"/>
          <w:szCs w:val="18"/>
        </w:rPr>
      </w:pPr>
      <w:r>
        <w:rPr>
          <w:sz w:val="18"/>
          <w:szCs w:val="18"/>
          <w:vertAlign w:val="superscript"/>
        </w:rPr>
        <w:t>(7)</w:t>
      </w:r>
      <w:r>
        <w:rPr>
          <w:sz w:val="18"/>
          <w:szCs w:val="18"/>
        </w:rPr>
        <w:t xml:space="preserve"> Ai fini della formulazione della graduatoria per l’individuazione del soprannumerario, le esigenze di famiglia, da considerarsi in questo caso come esigenze di non allontanamento dalla scuola e dal comune di attuale titolarità o di incarico triennale, sono valutate nella seguente maniera:</w:t>
      </w:r>
    </w:p>
    <w:p>
      <w:pPr>
        <w:pStyle w:val="Testo"/>
        <w:ind w:left="0" w:firstLine="284"/>
        <w:rPr>
          <w:sz w:val="18"/>
          <w:szCs w:val="18"/>
        </w:rPr>
      </w:pPr>
      <w:r>
        <w:rPr>
          <w:sz w:val="18"/>
          <w:szCs w:val="18"/>
          <w:u w:val="single"/>
        </w:rPr>
        <w:t>lettera A)</w:t>
      </w:r>
      <w:r>
        <w:rPr>
          <w:sz w:val="18"/>
          <w:szCs w:val="18"/>
        </w:rP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pPr>
        <w:pStyle w:val="Testo"/>
        <w:ind w:left="0" w:firstLine="284"/>
        <w:rPr>
          <w:sz w:val="18"/>
          <w:szCs w:val="18"/>
        </w:rPr>
      </w:pPr>
      <w:r>
        <w:rPr>
          <w:sz w:val="18"/>
          <w:szCs w:val="18"/>
          <w:u w:val="single"/>
        </w:rPr>
        <w:t>lettera B) e lettera C)</w:t>
      </w:r>
      <w:r>
        <w:rPr>
          <w:sz w:val="18"/>
          <w:szCs w:val="18"/>
        </w:rPr>
        <w:t xml:space="preserve"> valgono sempre; </w:t>
      </w:r>
    </w:p>
    <w:p>
      <w:pPr>
        <w:pStyle w:val="Testo"/>
        <w:ind w:left="0" w:firstLine="284"/>
        <w:rPr>
          <w:sz w:val="18"/>
          <w:szCs w:val="18"/>
        </w:rPr>
      </w:pPr>
      <w:r>
        <w:rPr>
          <w:sz w:val="18"/>
          <w:szCs w:val="18"/>
          <w:u w:val="single"/>
        </w:rPr>
        <w:t>lettera D)</w:t>
      </w:r>
      <w:r>
        <w:rPr>
          <w:sz w:val="18"/>
          <w:szCs w:val="18"/>
        </w:rPr>
        <w:t xml:space="preserve"> (cura e assistenza dei figli minorati, etc..) vale quando il comune in cui può essere prestata l’assistenza coincide con il comune di titolarità del docente oppure è ad esso viciniore, qualora nel comune medesimo non vi siano sedi scolastiche richiedibili.</w:t>
      </w:r>
    </w:p>
    <w:p>
      <w:pPr>
        <w:pStyle w:val="Testo"/>
        <w:ind w:left="0" w:firstLine="284"/>
        <w:rPr>
          <w:spacing w:val="-2"/>
          <w:sz w:val="18"/>
          <w:szCs w:val="18"/>
        </w:rPr>
      </w:pPr>
      <w:r>
        <w:rPr>
          <w:spacing w:val="-2"/>
          <w:sz w:val="18"/>
          <w:szCs w:val="18"/>
        </w:rPr>
        <w:t xml:space="preserve">Il punteggio così calcolato viene utilizzato anche nelle operazioni di trasferimento d’ufficio del soprannumerario. </w:t>
      </w:r>
    </w:p>
    <w:p>
      <w:pPr>
        <w:pStyle w:val="Testo"/>
        <w:ind w:left="0" w:firstLine="284"/>
        <w:rPr>
          <w:sz w:val="18"/>
          <w:szCs w:val="18"/>
        </w:rPr>
      </w:pPr>
      <w:r>
        <w:rPr>
          <w:sz w:val="18"/>
          <w:szCs w:val="18"/>
          <w:vertAlign w:val="superscript"/>
        </w:rPr>
        <w:t>(8)</w:t>
      </w:r>
      <w:r>
        <w:rPr>
          <w:sz w:val="18"/>
          <w:szCs w:val="18"/>
        </w:rPr>
        <w:t xml:space="preserve"> Il punteggio va attribuito anche per i figli che compiono i sei anni o i diciotto tra il 1 gennaio e il 31 dicembre dell’anno in cui si effettua il trasferimento.</w:t>
      </w:r>
    </w:p>
    <w:p>
      <w:pPr>
        <w:pStyle w:val="Testo"/>
        <w:ind w:left="0" w:firstLine="284"/>
        <w:rPr>
          <w:sz w:val="18"/>
          <w:szCs w:val="18"/>
        </w:rPr>
      </w:pPr>
      <w:r>
        <w:rPr>
          <w:sz w:val="18"/>
          <w:szCs w:val="18"/>
          <w:vertAlign w:val="superscript"/>
        </w:rPr>
        <w:t>(9)</w:t>
      </w:r>
      <w:r>
        <w:rPr>
          <w:sz w:val="18"/>
          <w:szCs w:val="18"/>
        </w:rPr>
        <w:t xml:space="preserve"> La valutazione è attribuita nei seguenti casi: a) figlio minorato, ovvero coniuge o parte dell’unione civile o genitore, ricoverati permanentemente in un istituto di cura; b) figlio minorato, ovvero coniuge o parte dell’unione civile o genitore bisognosi di cure continuative presso un istituto di cura tali da comportare di necessità la residenza nella sede dello istituto medesimo. 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pPr>
        <w:pStyle w:val="Testo"/>
        <w:ind w:left="0" w:firstLine="284"/>
        <w:rPr>
          <w:sz w:val="18"/>
          <w:szCs w:val="18"/>
        </w:rPr>
      </w:pPr>
      <w:r>
        <w:rPr>
          <w:sz w:val="18"/>
          <w:szCs w:val="18"/>
          <w:vertAlign w:val="superscript"/>
        </w:rPr>
        <w:t>(10)</w:t>
      </w:r>
      <w:r>
        <w:rPr>
          <w:sz w:val="18"/>
          <w:szCs w:val="18"/>
        </w:rPr>
        <w:t xml:space="preserve"> Si precisa che ai sensi della lettera B)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w:t>
      </w:r>
      <w:r>
        <w:rPr>
          <w:i/>
          <w:sz w:val="18"/>
          <w:szCs w:val="18"/>
        </w:rPr>
        <w:t xml:space="preserve"> </w:t>
      </w:r>
      <w:r>
        <w:rPr>
          <w:sz w:val="18"/>
          <w:szCs w:val="18"/>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 Sono ovviamente esclusi i concorsi riservati per il conseguimento dell’abilitazione o dell’idoneità all’insegnamento e la partecipazione a concorsi ordinari ai soli fini del conseguimento dell’abilitazione. Ai sensi dell’art. 5 del D.M.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w:t>
      </w:r>
    </w:p>
    <w:p>
      <w:pPr>
        <w:pStyle w:val="Testo"/>
        <w:ind w:left="0" w:firstLine="284"/>
        <w:rPr>
          <w:sz w:val="18"/>
          <w:szCs w:val="18"/>
        </w:rPr>
      </w:pPr>
      <w:r>
        <w:rPr>
          <w:sz w:val="18"/>
          <w:szCs w:val="18"/>
          <w:vertAlign w:val="superscript"/>
        </w:rPr>
        <w:t>(11)</w:t>
      </w:r>
      <w:r>
        <w:rPr>
          <w:sz w:val="18"/>
          <w:szCs w:val="18"/>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pPr>
        <w:pStyle w:val="Testo"/>
        <w:ind w:left="0" w:firstLine="284"/>
        <w:rPr>
          <w:sz w:val="18"/>
          <w:szCs w:val="18"/>
        </w:rPr>
      </w:pPr>
      <w:r>
        <w:rPr>
          <w:sz w:val="18"/>
          <w:szCs w:val="18"/>
          <w:vertAlign w:val="superscript"/>
        </w:rPr>
        <w:t>(11 bis)</w:t>
      </w:r>
      <w:r>
        <w:rPr>
          <w:sz w:val="18"/>
          <w:szCs w:val="18"/>
        </w:rPr>
        <w:t xml:space="preserve">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pPr>
        <w:pStyle w:val="Testo"/>
        <w:ind w:left="0" w:firstLine="284"/>
        <w:rPr>
          <w:sz w:val="18"/>
          <w:szCs w:val="18"/>
        </w:rPr>
      </w:pPr>
      <w:r>
        <w:rPr>
          <w:sz w:val="18"/>
          <w:szCs w:val="18"/>
          <w:vertAlign w:val="superscript"/>
        </w:rPr>
        <w:t>(12)</w:t>
      </w:r>
      <w:r>
        <w:rPr>
          <w:sz w:val="18"/>
          <w:szCs w:val="18"/>
        </w:rPr>
        <w:t xml:space="preserve">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w:t>
      </w:r>
      <w:r>
        <w:rPr>
          <w:iCs/>
          <w:sz w:val="18"/>
          <w:szCs w:val="18"/>
        </w:rPr>
        <w:t xml:space="preserve"> alla </w:t>
      </w:r>
      <w:r>
        <w:rPr>
          <w:sz w:val="18"/>
          <w:szCs w:val="18"/>
        </w:rPr>
        <w:t xml:space="preserve">laurea in scienze della </w:t>
      </w:r>
      <w:r>
        <w:rPr>
          <w:bCs/>
          <w:sz w:val="18"/>
          <w:szCs w:val="18"/>
        </w:rPr>
        <w:t>formazione primaria</w:t>
      </w:r>
      <w:r>
        <w:rPr>
          <w:sz w:val="18"/>
          <w:szCs w:val="18"/>
        </w:rPr>
        <w:t xml:space="preserve"> con </w:t>
      </w:r>
      <w:r>
        <w:rPr>
          <w:bCs/>
          <w:sz w:val="18"/>
          <w:szCs w:val="18"/>
        </w:rPr>
        <w:t>indirizzo-infanzia,</w:t>
      </w:r>
      <w:r>
        <w:rPr>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Pr>
          <w:bCs/>
          <w:sz w:val="18"/>
          <w:szCs w:val="18"/>
        </w:rPr>
        <w:t>formazione primaria</w:t>
      </w:r>
      <w:r>
        <w:rPr>
          <w:sz w:val="18"/>
          <w:szCs w:val="18"/>
        </w:rPr>
        <w:t xml:space="preserve"> con </w:t>
      </w:r>
      <w:r>
        <w:rPr>
          <w:bCs/>
          <w:sz w:val="18"/>
          <w:szCs w:val="18"/>
        </w:rPr>
        <w:t xml:space="preserve">indirizzo-primaria, titolo </w:t>
      </w:r>
      <w:r>
        <w:rPr>
          <w:sz w:val="18"/>
          <w:szCs w:val="18"/>
        </w:rPr>
        <w:t>non utile ai fini dell’accesso al ruolo della scuola</w:t>
      </w:r>
      <w:r>
        <w:rPr>
          <w:bCs/>
          <w:sz w:val="18"/>
          <w:szCs w:val="18"/>
        </w:rPr>
        <w:t xml:space="preserve"> dell’infanzia, verrà riconosciuto il punteggio di n. 5 punti in quanto titolo</w:t>
      </w:r>
      <w:r>
        <w:rPr>
          <w:sz w:val="18"/>
          <w:szCs w:val="18"/>
        </w:rPr>
        <w:t xml:space="preserve"> aggiuntivo a quello necessario per l’accesso al ruolo di appartenenza. Il diploma di laurea in Didattica della musica non si valuta: ai docenti titolari delle classi di concorso A031 e A032 in quanto titolo richiesto per l’accesso al ruolo di appartenenza; 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pPr>
        <w:pStyle w:val="Testo"/>
        <w:ind w:left="0" w:firstLine="284"/>
        <w:rPr>
          <w:sz w:val="18"/>
          <w:szCs w:val="18"/>
        </w:rPr>
      </w:pPr>
      <w:r>
        <w:rPr>
          <w:sz w:val="18"/>
          <w:szCs w:val="18"/>
          <w:vertAlign w:val="superscript"/>
        </w:rPr>
        <w:t>(13)</w:t>
      </w:r>
      <w:r>
        <w:rPr>
          <w:sz w:val="18"/>
          <w:szCs w:val="18"/>
        </w:rPr>
        <w:t xml:space="preserve"> Il punteggio può essere attribuito anche al personale diplomato.</w:t>
      </w:r>
    </w:p>
    <w:p>
      <w:pPr>
        <w:pStyle w:val="Testo"/>
        <w:ind w:left="0" w:firstLine="284"/>
        <w:rPr>
          <w:sz w:val="18"/>
          <w:szCs w:val="18"/>
        </w:rPr>
      </w:pPr>
      <w:r>
        <w:rPr>
          <w:sz w:val="18"/>
          <w:szCs w:val="18"/>
          <w:vertAlign w:val="superscript"/>
        </w:rPr>
        <w:t>(14)</w:t>
      </w:r>
      <w:r>
        <w:rPr>
          <w:sz w:val="18"/>
          <w:szCs w:val="18"/>
        </w:rPr>
        <w:t xml:space="preserve"> I corsi tenuti a decorrere dall’anno accademico 2005/06 saranno valutati esclusivamente se di durata annuale, con 1500 ore complessive di impegno, con un riconoscimento di 60 CFU e con esame finale.</w:t>
      </w:r>
    </w:p>
    <w:p>
      <w:pPr>
        <w:pStyle w:val="Testo"/>
        <w:ind w:left="0" w:firstLine="284"/>
        <w:rPr>
          <w:sz w:val="18"/>
          <w:szCs w:val="18"/>
        </w:rPr>
      </w:pPr>
      <w:r>
        <w:rPr>
          <w:sz w:val="18"/>
          <w:szCs w:val="18"/>
          <w:vertAlign w:val="superscript"/>
        </w:rPr>
        <w:t>(15)</w:t>
      </w:r>
      <w:r>
        <w:rPr>
          <w:sz w:val="18"/>
          <w:szCs w:val="18"/>
        </w:rPr>
        <w:t xml:space="preserve"> Limitatamente alla mobilità nell’ambito dell’insegnamento della religione cattolica sono considerati validi i titoli previsti dal D.P.R. 751/85 e specificati dal DM 15.7.87 e successive modificazioni ed integrazioni.</w:t>
      </w:r>
    </w:p>
    <w:p>
      <w:pPr>
        <w:pStyle w:val="Testo"/>
        <w:ind w:left="0" w:firstLine="284"/>
        <w:rPr/>
      </w:pPr>
      <w:r>
        <w:rPr>
          <w:sz w:val="18"/>
          <w:szCs w:val="18"/>
          <w:vertAlign w:val="superscript"/>
        </w:rPr>
        <w:t>(16)</w:t>
      </w:r>
      <w:r>
        <w:rPr>
          <w:sz w:val="18"/>
          <w:szCs w:val="18"/>
        </w:rPr>
        <w:t xml:space="preserve"> Il punteggio viene attribuito per il conseguimento di un solo titolo linguistico.</w:t>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 w:name="Symbol">
    <w:charset w:val="00"/>
    <w:family w:val="roman"/>
    <w:pitch w:val="variable"/>
  </w:font>
</w:fonts>
</file>

<file path=word/settings.xml><?xml version="1.0" encoding="utf-8"?>
<w:settings xmlns:w="http://schemas.openxmlformats.org/wordprocessingml/2006/main">
  <w:zoom w:percent="100"/>
  <w:defaultTabStop w:val="708"/>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it-IT" w:eastAsia="it-IT"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24303"/>
    <w:pPr>
      <w:widowControl/>
      <w:bidi w:val="0"/>
      <w:spacing w:lineRule="auto" w:line="259" w:before="0" w:after="160"/>
      <w:jc w:val="left"/>
    </w:pPr>
    <w:rPr>
      <w:rFonts w:ascii="Calibri" w:hAnsi="Calibri" w:eastAsia="Calibri" w:cs="Times New Roman"/>
      <w:color w:val="00000A"/>
      <w:kern w:val="0"/>
      <w:sz w:val="22"/>
      <w:szCs w:val="22"/>
      <w:lang w:val="it-IT" w:eastAsia="en-US" w:bidi="ar-SA"/>
    </w:rPr>
  </w:style>
  <w:style w:type="character" w:styleId="DefaultParagraphFont" w:default="1">
    <w:name w:val="Default Paragraph Font"/>
    <w:uiPriority w:val="99"/>
    <w:semiHidden/>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Default" w:customStyle="1">
    <w:name w:val="Default"/>
    <w:uiPriority w:val="99"/>
    <w:qFormat/>
    <w:rsid w:val="00a71b6b"/>
    <w:pPr>
      <w:widowControl/>
      <w:bidi w:val="0"/>
      <w:jc w:val="left"/>
    </w:pPr>
    <w:rPr>
      <w:rFonts w:ascii="Times New Roman" w:hAnsi="Times New Roman" w:eastAsia="Calibri" w:cs="Times New Roman"/>
      <w:color w:val="000000"/>
      <w:kern w:val="0"/>
      <w:sz w:val="24"/>
      <w:szCs w:val="24"/>
      <w:lang w:val="it-IT" w:eastAsia="it-IT" w:bidi="ar-SA"/>
    </w:rPr>
  </w:style>
  <w:style w:type="paragraph" w:styleId="Testo" w:customStyle="1">
    <w:name w:val="testo"/>
    <w:basedOn w:val="Normal"/>
    <w:uiPriority w:val="99"/>
    <w:qFormat/>
    <w:rsid w:val="008f25bf"/>
    <w:pPr>
      <w:spacing w:lineRule="auto" w:line="240" w:before="0" w:after="0"/>
      <w:ind w:left="567" w:hanging="0"/>
      <w:jc w:val="both"/>
    </w:pPr>
    <w:rPr>
      <w:rFonts w:ascii="Times New Roman" w:hAnsi="Times New Roman" w:eastAsia="Times New Roman"/>
      <w:sz w:val="20"/>
      <w:szCs w:val="20"/>
      <w:lang w:eastAsia="it-IT"/>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TotalTime>
  <Application>LibreOffice/6.0.3.2$Windows_X86_64 LibreOffice_project/8f48d515416608e3a835360314dac7e47fd0b821</Application>
  <Pages>8</Pages>
  <Words>7747</Words>
  <Characters>43367</Characters>
  <CharactersWithSpaces>53199</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2018-03-19T08:21:00Z</dcterms:created>
  <dc:creator>utente</dc:creator>
  <dc:description/>
  <dc:language>it-IT</dc:language>
  <cp:lastModifiedBy/>
  <cp:lastPrinted>2020-03-02T08:42:50Z</cp:lastPrinted>
  <dcterms:modified xsi:type="dcterms:W3CDTF">2021-04-06T08:42:32Z</dcterms:modified>
  <cp:revision>5</cp:revision>
  <dc:subject/>
  <dc:title>SCHEDA PER L'INDIVIDUAZIONE DEI DOCENTI SOPRANNUMERARI 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